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2F7" w:rsidRDefault="00A352F7" w:rsidP="00A352F7">
      <w:pPr>
        <w:rPr>
          <w:rFonts w:ascii="Times New Roman" w:eastAsia="標楷體" w:hAnsi="標楷體" w:cs="Times New Roman"/>
        </w:rPr>
      </w:pPr>
    </w:p>
    <w:p w:rsidR="00A352F7" w:rsidRPr="00A352F7" w:rsidRDefault="00A352F7" w:rsidP="00A352F7">
      <w:pPr>
        <w:rPr>
          <w:rFonts w:ascii="標楷體" w:eastAsia="標楷體" w:hAnsi="標楷體" w:cs="Times New Roman"/>
        </w:rPr>
      </w:pPr>
      <w:r w:rsidRPr="00A352F7">
        <w:rPr>
          <w:rFonts w:ascii="標楷體" w:eastAsia="標楷體" w:hAnsi="標楷體" w:cs="Times New Roman" w:hint="eastAsia"/>
        </w:rPr>
        <w:t>廣告主題：</w:t>
      </w:r>
    </w:p>
    <w:p w:rsidR="00A352F7" w:rsidRPr="00A352F7" w:rsidRDefault="00A352F7" w:rsidP="00A352F7">
      <w:pPr>
        <w:ind w:firstLineChars="295" w:firstLine="708"/>
        <w:rPr>
          <w:rFonts w:ascii="標楷體" w:eastAsia="標楷體" w:hAnsi="標楷體" w:cs="Times New Roman"/>
        </w:rPr>
      </w:pPr>
      <w:bookmarkStart w:id="0" w:name="_GoBack"/>
      <w:r w:rsidRPr="00A352F7">
        <w:rPr>
          <w:rFonts w:ascii="標楷體" w:eastAsia="標楷體" w:hAnsi="標楷體" w:hint="eastAsia"/>
        </w:rPr>
        <w:t>優秀殘疾</w:t>
      </w:r>
      <w:proofErr w:type="gramStart"/>
      <w:r w:rsidRPr="00A352F7">
        <w:rPr>
          <w:rFonts w:ascii="標楷體" w:eastAsia="標楷體" w:hAnsi="標楷體" w:hint="eastAsia"/>
        </w:rPr>
        <w:t>僱員暨識才</w:t>
      </w:r>
      <w:proofErr w:type="gramEnd"/>
      <w:r w:rsidRPr="00A352F7">
        <w:rPr>
          <w:rFonts w:ascii="標楷體" w:eastAsia="標楷體" w:hAnsi="標楷體" w:hint="eastAsia"/>
        </w:rPr>
        <w:t>僱主嘉許計劃宣傳廣告</w:t>
      </w:r>
      <w:bookmarkEnd w:id="0"/>
    </w:p>
    <w:p w:rsidR="00A352F7" w:rsidRDefault="00A352F7" w:rsidP="00A352F7">
      <w:pPr>
        <w:rPr>
          <w:rFonts w:ascii="Times New Roman" w:eastAsia="標楷體" w:hAnsi="標楷體" w:cs="Times New Roman"/>
        </w:rPr>
      </w:pPr>
    </w:p>
    <w:p w:rsidR="00A352F7" w:rsidRDefault="00A352F7" w:rsidP="00A352F7">
      <w:pPr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字幕：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43"/>
        <w:gridCol w:w="4619"/>
      </w:tblGrid>
      <w:tr w:rsidR="00A352F7" w:rsidRPr="003E0C40" w:rsidTr="00A352F7">
        <w:trPr>
          <w:trHeight w:val="49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2F7" w:rsidRPr="003E0C40" w:rsidRDefault="00A352F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b/>
                <w:bCs/>
              </w:rPr>
              <w:t>畫面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2F7" w:rsidRPr="003E0C40" w:rsidRDefault="00A352F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b/>
                <w:bCs/>
                <w:lang w:eastAsia="zh-MO"/>
              </w:rPr>
              <w:t>字幕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2F7" w:rsidRPr="003E0C40" w:rsidRDefault="00A352F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b/>
                <w:bCs/>
                <w:lang w:eastAsia="zh-MO"/>
              </w:rPr>
              <w:t>畫面說明</w:t>
            </w:r>
          </w:p>
        </w:tc>
      </w:tr>
      <w:tr w:rsidR="003E0C40" w:rsidRPr="003E0C40" w:rsidTr="003E0C40">
        <w:trPr>
          <w:trHeight w:val="80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40" w:rsidRPr="003E0C40" w:rsidRDefault="003E0C40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1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0" w:rsidRPr="003E0C40" w:rsidRDefault="003E0C40" w:rsidP="00A352F7">
            <w:pPr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音樂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介紹是次計劃獲嘉許的</w:t>
            </w:r>
            <w:r w:rsidRPr="003E0C40">
              <w:rPr>
                <w:rFonts w:ascii="Times New Roman" w:eastAsia="標楷體" w:hAnsi="Times New Roman" w:cs="Times New Roman"/>
              </w:rPr>
              <w:t>10</w:t>
            </w:r>
            <w:r w:rsidRPr="003E0C40">
              <w:rPr>
                <w:rFonts w:ascii="Times New Roman" w:eastAsia="標楷體" w:hAnsi="Times New Roman" w:cs="Times New Roman"/>
              </w:rPr>
              <w:t>位優秀僱員以及計劃標題</w:t>
            </w:r>
          </w:p>
        </w:tc>
      </w:tr>
      <w:tr w:rsidR="003E0C40" w:rsidRPr="003E0C40" w:rsidTr="003E0C40">
        <w:trPr>
          <w:trHeight w:val="78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40" w:rsidRPr="003E0C40" w:rsidRDefault="003E0C40" w:rsidP="003E0C40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2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</w:rPr>
              <w:t>獲嘉許僱員創</w:t>
            </w:r>
            <w:proofErr w:type="gramStart"/>
            <w:r w:rsidRPr="003E0C40">
              <w:rPr>
                <w:rFonts w:ascii="Times New Roman" w:eastAsia="標楷體" w:hAnsi="Times New Roman" w:cs="Times New Roman"/>
              </w:rPr>
              <w:t>明坊何柱添</w:t>
            </w:r>
            <w:proofErr w:type="gramEnd"/>
            <w:r w:rsidRPr="003E0C40">
              <w:rPr>
                <w:rFonts w:ascii="Times New Roman" w:eastAsia="標楷體" w:hAnsi="Times New Roman" w:cs="Times New Roman"/>
              </w:rPr>
              <w:t>社工</w:t>
            </w:r>
          </w:p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</w:rPr>
              <w:t>有時候例如家訪工作</w:t>
            </w:r>
          </w:p>
        </w:tc>
        <w:tc>
          <w:tcPr>
            <w:tcW w:w="27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</w:rPr>
              <w:t>獲嘉許僱員創</w:t>
            </w:r>
            <w:proofErr w:type="gramStart"/>
            <w:r w:rsidRPr="003E0C40">
              <w:rPr>
                <w:rFonts w:ascii="Times New Roman" w:eastAsia="標楷體" w:hAnsi="Times New Roman" w:cs="Times New Roman"/>
              </w:rPr>
              <w:t>明坊何柱添</w:t>
            </w:r>
            <w:proofErr w:type="gramEnd"/>
            <w:r w:rsidRPr="003E0C40">
              <w:rPr>
                <w:rFonts w:ascii="Times New Roman" w:eastAsia="標楷體" w:hAnsi="Times New Roman" w:cs="Times New Roman"/>
              </w:rPr>
              <w:t>社工介紹自己的工作內容以及與其他人的互動</w:t>
            </w:r>
          </w:p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  <w:lang w:eastAsia="zh-MO"/>
              </w:rPr>
            </w:pPr>
          </w:p>
        </w:tc>
      </w:tr>
      <w:tr w:rsidR="003E0C40" w:rsidRPr="003E0C40" w:rsidTr="003E0C40">
        <w:trPr>
          <w:trHeight w:val="7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40" w:rsidRPr="003E0C40" w:rsidRDefault="003E0C40" w:rsidP="003E0C40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3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</w:rPr>
              <w:t>或者小組及大型活動會有分享會</w:t>
            </w:r>
          </w:p>
        </w:tc>
        <w:tc>
          <w:tcPr>
            <w:tcW w:w="2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  <w:lang w:eastAsia="zh-MO"/>
              </w:rPr>
            </w:pPr>
          </w:p>
        </w:tc>
      </w:tr>
      <w:tr w:rsidR="003E0C40" w:rsidRPr="003E0C40" w:rsidTr="00230955">
        <w:trPr>
          <w:trHeight w:val="7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40" w:rsidRPr="003E0C40" w:rsidRDefault="003E0C40" w:rsidP="003E0C40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4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</w:rPr>
              <w:t>我身邊都有同事協助我了解</w:t>
            </w:r>
          </w:p>
        </w:tc>
        <w:tc>
          <w:tcPr>
            <w:tcW w:w="2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E0C40" w:rsidRPr="003E0C40" w:rsidTr="00230955">
        <w:trPr>
          <w:trHeight w:val="51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40" w:rsidRPr="003E0C40" w:rsidRDefault="003E0C40" w:rsidP="003E0C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5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</w:rPr>
              <w:t>因為他們都知道我聽力的問題</w:t>
            </w:r>
          </w:p>
        </w:tc>
        <w:tc>
          <w:tcPr>
            <w:tcW w:w="27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E0C40" w:rsidRPr="003E0C40" w:rsidTr="003E0C40">
        <w:trPr>
          <w:trHeight w:val="51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40" w:rsidRPr="003E0C40" w:rsidRDefault="003E0C40" w:rsidP="003E0C40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</w:rPr>
              <w:t>獲嘉許僱員銀河娛樂集團黃雅清管事務服員工</w:t>
            </w:r>
          </w:p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</w:rPr>
              <w:t>我想向殘疾人士講</w:t>
            </w:r>
          </w:p>
        </w:tc>
        <w:tc>
          <w:tcPr>
            <w:tcW w:w="27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C40" w:rsidRPr="003E0C40" w:rsidRDefault="003E0C40" w:rsidP="003E0C40">
            <w:pPr>
              <w:rPr>
                <w:rFonts w:ascii="Times New Roman" w:eastAsia="SimSun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</w:rPr>
              <w:t>獲嘉許僱員銀河娛樂集團黃雅清管事務服員工，用手語表達她在工作上是比人平等</w:t>
            </w:r>
            <w:r w:rsidRPr="003E0C40">
              <w:rPr>
                <w:rFonts w:ascii="Times New Roman" w:eastAsia="標楷體" w:hAnsi="Times New Roman" w:cs="Times New Roman"/>
              </w:rPr>
              <w:t>對待的</w:t>
            </w:r>
          </w:p>
        </w:tc>
      </w:tr>
      <w:tr w:rsidR="003E0C40" w:rsidRPr="003E0C40" w:rsidTr="003E0C40">
        <w:trPr>
          <w:trHeight w:val="51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40" w:rsidRPr="003E0C40" w:rsidRDefault="003E0C40" w:rsidP="003E0C40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7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</w:rPr>
              <w:t>其實我們</w:t>
            </w:r>
            <w:proofErr w:type="gramStart"/>
            <w:r w:rsidRPr="003E0C40">
              <w:rPr>
                <w:rFonts w:ascii="Times New Roman" w:eastAsia="標楷體" w:hAnsi="Times New Roman" w:cs="Times New Roman"/>
              </w:rPr>
              <w:t>跟健聽</w:t>
            </w:r>
            <w:proofErr w:type="gramEnd"/>
            <w:r w:rsidRPr="003E0C40">
              <w:rPr>
                <w:rFonts w:ascii="Times New Roman" w:eastAsia="標楷體" w:hAnsi="Times New Roman" w:cs="Times New Roman"/>
              </w:rPr>
              <w:t>人士一樣是平等的</w:t>
            </w:r>
          </w:p>
        </w:tc>
        <w:tc>
          <w:tcPr>
            <w:tcW w:w="2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40" w:rsidRPr="003E0C40" w:rsidRDefault="003E0C40" w:rsidP="003E0C40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3E0C40" w:rsidRPr="003E0C40" w:rsidTr="003E0C40">
        <w:trPr>
          <w:trHeight w:val="13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40" w:rsidRPr="003E0C40" w:rsidRDefault="003E0C40" w:rsidP="003E0C40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8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</w:rPr>
              <w:t>大家都是公平的</w:t>
            </w:r>
          </w:p>
        </w:tc>
        <w:tc>
          <w:tcPr>
            <w:tcW w:w="2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40" w:rsidRPr="003E0C40" w:rsidRDefault="003E0C40" w:rsidP="003E0C40">
            <w:pPr>
              <w:rPr>
                <w:rFonts w:ascii="Times New Roman" w:eastAsia="SimSun" w:hAnsi="Times New Roman" w:cs="Times New Roman"/>
                <w:lang w:eastAsia="zh-HK"/>
              </w:rPr>
            </w:pPr>
          </w:p>
        </w:tc>
      </w:tr>
      <w:tr w:rsidR="003E0C40" w:rsidRPr="003E0C40" w:rsidTr="003E0C40">
        <w:trPr>
          <w:trHeight w:val="368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40" w:rsidRPr="003E0C40" w:rsidRDefault="003E0C40" w:rsidP="003E0C40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9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0" w:rsidRPr="003E0C40" w:rsidRDefault="003E0C40" w:rsidP="003E0C4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</w:rPr>
              <w:t>只要我們努力</w:t>
            </w:r>
          </w:p>
        </w:tc>
        <w:tc>
          <w:tcPr>
            <w:tcW w:w="2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  <w:lang w:eastAsia="zh-MO"/>
              </w:rPr>
            </w:pPr>
          </w:p>
        </w:tc>
      </w:tr>
      <w:tr w:rsidR="003E0C40" w:rsidRPr="003E0C40" w:rsidTr="003E0C40">
        <w:trPr>
          <w:trHeight w:val="403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40" w:rsidRPr="003E0C40" w:rsidRDefault="003E0C40" w:rsidP="003E0C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我們一樣會做得好好</w:t>
            </w:r>
          </w:p>
        </w:tc>
        <w:tc>
          <w:tcPr>
            <w:tcW w:w="2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  <w:lang w:eastAsia="zh-MO"/>
              </w:rPr>
            </w:pPr>
          </w:p>
        </w:tc>
      </w:tr>
      <w:tr w:rsidR="003E0C40" w:rsidRPr="003E0C40" w:rsidTr="00A352F7">
        <w:trPr>
          <w:trHeight w:val="93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40" w:rsidRPr="003E0C40" w:rsidRDefault="003E0C40" w:rsidP="003E0C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</w:rPr>
              <w:t>優秀殘疾</w:t>
            </w:r>
            <w:proofErr w:type="gramStart"/>
            <w:r w:rsidRPr="003E0C40">
              <w:rPr>
                <w:rFonts w:ascii="Times New Roman" w:eastAsia="標楷體" w:hAnsi="Times New Roman" w:cs="Times New Roman"/>
              </w:rPr>
              <w:t>僱員暨識才</w:t>
            </w:r>
            <w:proofErr w:type="gramEnd"/>
            <w:r w:rsidRPr="003E0C40">
              <w:rPr>
                <w:rFonts w:ascii="Times New Roman" w:eastAsia="標楷體" w:hAnsi="Times New Roman" w:cs="Times New Roman"/>
              </w:rPr>
              <w:t>僱主嘉許計劃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計劃的標題，包括名稱、以及主辦單位的標誌，分別為社會工作局及勞工事務局。</w:t>
            </w:r>
          </w:p>
        </w:tc>
      </w:tr>
    </w:tbl>
    <w:p w:rsidR="00A352F7" w:rsidRPr="00A352F7" w:rsidRDefault="00A352F7"/>
    <w:p w:rsidR="00A352F7" w:rsidRDefault="00A352F7"/>
    <w:sectPr w:rsidR="00A352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D5CE2"/>
    <w:multiLevelType w:val="hybridMultilevel"/>
    <w:tmpl w:val="32B473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F7"/>
    <w:rsid w:val="003E0C40"/>
    <w:rsid w:val="006E73AB"/>
    <w:rsid w:val="00A3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8C9B"/>
  <w15:chartTrackingRefBased/>
  <w15:docId w15:val="{EBF237DE-0DF4-4023-8CD5-B848E0C8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322</Characters>
  <Application>Microsoft Office Word</Application>
  <DocSecurity>0</DocSecurity>
  <Lines>2</Lines>
  <Paragraphs>1</Paragraphs>
  <ScaleCrop>false</ScaleCrop>
  <Company>IAS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SEK CHONG</dc:creator>
  <cp:keywords/>
  <dc:description/>
  <cp:lastModifiedBy>WONG SEK CHONG</cp:lastModifiedBy>
  <cp:revision>1</cp:revision>
  <dcterms:created xsi:type="dcterms:W3CDTF">2022-09-29T01:48:00Z</dcterms:created>
  <dcterms:modified xsi:type="dcterms:W3CDTF">2022-09-29T02:03:00Z</dcterms:modified>
</cp:coreProperties>
</file>